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AF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</w:p>
    <w:p w14:paraId="37EE3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  <w:lang w:val="en-US" w:eastAsia="zh-CN"/>
        </w:rPr>
      </w:pPr>
    </w:p>
    <w:p w14:paraId="5AF6A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课题结项事项</w:t>
      </w:r>
    </w:p>
    <w:p w14:paraId="4BA771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结项要求</w:t>
      </w:r>
    </w:p>
    <w:p w14:paraId="1107B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jc w:val="both"/>
        <w:textAlignment w:val="baseline"/>
        <w:rPr>
          <w:rFonts w:hint="default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（一）内容要求。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课题围绕确定的研究题目开展研究，研究报告要有较强的思想性，符合国家政策和有关规定；要有较强的操作性、针对性和指导性，应用对策研究型课题要侧重问题分析和对策建议；数据及资料科学、真实、充分；通过查重率检测，知网个人查重服务报告单总文字复制比≤20%。</w:t>
      </w:r>
    </w:p>
    <w:p w14:paraId="70983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（二）字数要求。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研究课题文字总数在10000字以上，15000字以内。结题时同时提交3000字左右精简摘要。</w:t>
      </w:r>
    </w:p>
    <w:p w14:paraId="6C5D2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（三）时间要求。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2026年11月15日形成中期进展报告，省文化和旅游厅组织相关专家进行课题中期评审。2027年2月15日之前完成研究，3月15日前结项（提交正式版一式五份），省文化和旅游厅组织相关专家进行课题结项成果评审，课题评审合格后，按照相关程序办理结项手续。</w:t>
      </w:r>
    </w:p>
    <w:p w14:paraId="1A2DB6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结项提供材料</w:t>
      </w:r>
    </w:p>
    <w:p w14:paraId="6CC82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已到期的并已完成预期成果目标的课题项目负责人，统一按以下目录组织结项材料。</w:t>
      </w:r>
    </w:p>
    <w:p w14:paraId="2DACD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1.《2026年度陕西省文化和旅游课题研究项目立项申请书》（PDF签字盖章版）。</w:t>
      </w:r>
    </w:p>
    <w:p w14:paraId="50287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《2026年度陕西省文化和旅游课题研究项目论证活页》（PDF版）</w:t>
      </w:r>
    </w:p>
    <w:p w14:paraId="4692A6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before="157" w:beforeLines="50" w:beforeAutospacing="0" w:after="157" w:afterLines="50" w:afterAutospacing="0" w:line="520" w:lineRule="exact"/>
        <w:ind w:left="638" w:leftChars="304" w:right="0" w:rightChars="0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3.研究报告查重率检测结果（知网个人查重服务报告单）</w:t>
      </w:r>
    </w:p>
    <w:p w14:paraId="49CDE9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before="157" w:beforeLines="50" w:beforeAutospacing="0" w:after="157" w:afterLines="50" w:afterAutospacing="0" w:line="52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4.纸质版研究报告（正式报告、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精简摘要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各五份，用于结项评审）</w:t>
      </w:r>
    </w:p>
    <w:p w14:paraId="0D1497D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5.电子版研究报告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（正式报告、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精简摘要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Word和PDF两个版本）</w:t>
      </w:r>
    </w:p>
    <w:p w14:paraId="4BBCF7C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ind w:left="0" w:leftChars="0" w:firstLine="640" w:firstLineChars="200"/>
        <w:textAlignment w:val="auto"/>
        <w:rPr>
          <w:rFonts w:ascii="方正小标宋_GBK" w:hAnsi="方正小标宋_GBK" w:eastAsia="方正小标宋_GBK" w:cs="方正小标宋_GBK"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.成果转化应用情况（根据实际情况提供）</w:t>
      </w:r>
    </w:p>
    <w:p w14:paraId="770D12C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32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2"/>
    <w:qFormat/>
    <w:uiPriority w:val="0"/>
    <w:pPr>
      <w:spacing w:line="240" w:lineRule="auto"/>
      <w:ind w:firstLine="420" w:firstLineChars="100"/>
    </w:pPr>
    <w:rPr>
      <w:rFonts w:ascii="Calibri" w:hAnsi="Calibri" w:eastAsia="宋体"/>
      <w:sz w:val="21"/>
      <w:szCs w:val="24"/>
    </w:rPr>
  </w:style>
  <w:style w:type="paragraph" w:customStyle="1" w:styleId="6">
    <w:name w:val="正文首行缩进1"/>
    <w:basedOn w:val="2"/>
    <w:qFormat/>
    <w:uiPriority w:val="0"/>
    <w:pPr>
      <w:ind w:firstLine="420" w:firstLineChars="1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2026-07-31T01:50:24Z</dcterms:created>
  <dc:creator>xiaoy</dc:creator>
  <cp:lastModifiedBy>羊羊</cp:lastModifiedBy>
  <dcterms:modified xsi:type="dcterms:W3CDTF">2026-07-31T01:50:34Z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eyJoZGlkIjoiZWE4ZjVjZjE0MjZlYjA5OTc2NDQ2ODY3OWNjZWM3ZWQiLCJ1c2VySWQiOiIyNzMyOTk0ODQifQ==</vt:lpwstr>
  </property>
  <property fmtid="{D5CDD505-2E9C-101B-9397-08002B2CF9AE}" pid="4" name="ICV">
    <vt:lpwstr>6FDDB917563145F393C8CBB90ABC6159_12</vt:lpwstr>
  </property>
</Properties>
</file>